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F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215985" wp14:editId="7673F8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25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725" w:rsidRPr="00531198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725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F44725" w:rsidRPr="002A0EAA" w:rsidTr="00C357A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725" w:rsidRPr="002A0EAA" w:rsidRDefault="00F44725" w:rsidP="00C357AC">
            <w:pPr>
              <w:keepNext/>
              <w:ind w:left="-108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2A0EAA">
              <w:rPr>
                <w:b/>
                <w:bCs/>
                <w:caps/>
                <w:sz w:val="27"/>
                <w:szCs w:val="27"/>
              </w:rPr>
              <w:t xml:space="preserve">АДМИНИСТРАЦИЯ </w:t>
            </w:r>
            <w:r>
              <w:rPr>
                <w:b/>
                <w:bCs/>
                <w:caps/>
                <w:sz w:val="27"/>
                <w:szCs w:val="27"/>
              </w:rPr>
              <w:t>БОЙКОПОНУРСКОГО</w:t>
            </w:r>
            <w:r w:rsidRPr="002A0EAA">
              <w:rPr>
                <w:b/>
                <w:bCs/>
                <w:caps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F44725" w:rsidRPr="002A0EAA" w:rsidTr="00C357A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725" w:rsidRPr="002A0EAA" w:rsidRDefault="00F44725" w:rsidP="00C357A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F44725" w:rsidRPr="002A0EAA" w:rsidTr="00C357A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725" w:rsidRPr="002A0EAA" w:rsidRDefault="00F44725" w:rsidP="00C3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0EA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44725" w:rsidRPr="002A0EAA" w:rsidTr="00C357A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725" w:rsidRPr="002A0EAA" w:rsidRDefault="00F44725" w:rsidP="00C35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725" w:rsidRPr="00AF45EC" w:rsidTr="00C357A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44725" w:rsidRPr="00AF45EC" w:rsidRDefault="00F44725" w:rsidP="00C357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4725" w:rsidRPr="00AF45EC" w:rsidRDefault="00F44725" w:rsidP="00C357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F45EC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25" w:rsidRPr="00AF45EC" w:rsidRDefault="00AF45EC" w:rsidP="00C3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F45EC">
              <w:rPr>
                <w:b/>
                <w:sz w:val="26"/>
                <w:szCs w:val="26"/>
              </w:rPr>
              <w:t>03.03.2021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4725" w:rsidRPr="00AF45EC" w:rsidRDefault="00F44725" w:rsidP="00C357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4725" w:rsidRPr="00AF45EC" w:rsidRDefault="00F44725" w:rsidP="00C357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F45E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25" w:rsidRPr="00AF45EC" w:rsidRDefault="00AF45EC" w:rsidP="00C357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F45EC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44725" w:rsidRPr="00AF45EC" w:rsidRDefault="00F44725" w:rsidP="00C357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44725" w:rsidRPr="002A0EAA" w:rsidTr="00C357A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725" w:rsidRPr="002A0EAA" w:rsidRDefault="00F44725" w:rsidP="00C3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хутор Бойкопонура</w:t>
            </w:r>
          </w:p>
        </w:tc>
      </w:tr>
    </w:tbl>
    <w:p w:rsidR="00F44725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25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25" w:rsidRDefault="00F44725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25" w:rsidRDefault="00A55FE1" w:rsidP="00F4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44725">
        <w:rPr>
          <w:rFonts w:ascii="Times New Roman" w:hAnsi="Times New Roman" w:cs="Times New Roman"/>
          <w:b/>
          <w:sz w:val="28"/>
          <w:szCs w:val="28"/>
        </w:rPr>
        <w:t xml:space="preserve"> Порядка участия представителей</w:t>
      </w:r>
    </w:p>
    <w:p w:rsidR="00F44725" w:rsidRDefault="00F44725" w:rsidP="00F4472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>
        <w:rPr>
          <w:b/>
          <w:bCs/>
          <w:sz w:val="28"/>
          <w:szCs w:val="28"/>
        </w:rPr>
        <w:t xml:space="preserve"> </w:t>
      </w: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F44725" w:rsidRPr="00F44725" w:rsidRDefault="00F44725" w:rsidP="00F4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  <w:r w:rsidR="00A55FE1" w:rsidRPr="00A55FE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 </w:t>
      </w:r>
    </w:p>
    <w:p w:rsidR="0077669F" w:rsidRPr="00F44725" w:rsidRDefault="00A55FE1" w:rsidP="00F44725">
      <w:pPr>
        <w:jc w:val="center"/>
        <w:rPr>
          <w:b/>
          <w:bCs/>
          <w:sz w:val="28"/>
          <w:szCs w:val="28"/>
        </w:rPr>
      </w:pPr>
      <w:r w:rsidRPr="00A55FE1">
        <w:rPr>
          <w:b/>
          <w:sz w:val="28"/>
          <w:szCs w:val="28"/>
        </w:rPr>
        <w:t>автономной</w:t>
      </w:r>
      <w:r w:rsidR="00F44725">
        <w:rPr>
          <w:b/>
          <w:sz w:val="28"/>
          <w:szCs w:val="28"/>
        </w:rPr>
        <w:t xml:space="preserve"> </w:t>
      </w:r>
      <w:r w:rsidRPr="00A55FE1">
        <w:rPr>
          <w:b/>
          <w:sz w:val="28"/>
          <w:szCs w:val="28"/>
        </w:rPr>
        <w:t>некоммерческой организации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25" w:rsidRDefault="00F4472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25" w:rsidRPr="00531198" w:rsidRDefault="00F4472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с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т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а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н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л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я</w:t>
      </w:r>
      <w:r w:rsidR="001115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1198">
        <w:rPr>
          <w:rFonts w:ascii="Times New Roman" w:hAnsi="Times New Roman" w:cs="Times New Roman"/>
          <w:sz w:val="28"/>
          <w:szCs w:val="28"/>
        </w:rPr>
        <w:t>ю:</w:t>
      </w:r>
    </w:p>
    <w:p w:rsidR="0077669F" w:rsidRDefault="0077669F" w:rsidP="00242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701D9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420D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C4693">
        <w:rPr>
          <w:rFonts w:ascii="Times New Roman" w:hAnsi="Times New Roman" w:cs="Times New Roman"/>
          <w:sz w:val="28"/>
          <w:szCs w:val="28"/>
        </w:rPr>
        <w:t>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:rsidR="009C4693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420D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C1533">
        <w:rPr>
          <w:rFonts w:ascii="Times New Roman" w:hAnsi="Times New Roman" w:cs="Times New Roman"/>
          <w:sz w:val="28"/>
          <w:szCs w:val="28"/>
        </w:rPr>
        <w:t>2).</w:t>
      </w:r>
    </w:p>
    <w:p w:rsidR="002420D9" w:rsidRPr="002420D9" w:rsidRDefault="002420D9" w:rsidP="002420D9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20D9">
        <w:rPr>
          <w:sz w:val="28"/>
          <w:szCs w:val="28"/>
        </w:rPr>
        <w:t xml:space="preserve">Признать утратившим силу постановление администрации Бойкопонурского сельского поселения Калининского района от </w:t>
      </w:r>
      <w:r>
        <w:rPr>
          <w:sz w:val="28"/>
          <w:szCs w:val="28"/>
        </w:rPr>
        <w:t>06.09.2019</w:t>
      </w:r>
      <w:r w:rsidRPr="002420D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106 «</w:t>
      </w:r>
      <w:r w:rsidRPr="004950D9">
        <w:rPr>
          <w:snapToGrid w:val="0"/>
          <w:sz w:val="28"/>
          <w:szCs w:val="28"/>
        </w:rPr>
        <w:t>Об утверждении Порядка участия представителей Бойкопонурского</w:t>
      </w:r>
      <w:r>
        <w:rPr>
          <w:snapToGrid w:val="0"/>
          <w:sz w:val="28"/>
          <w:szCs w:val="28"/>
        </w:rPr>
        <w:t xml:space="preserve"> </w:t>
      </w:r>
      <w:r w:rsidRPr="004950D9">
        <w:rPr>
          <w:snapToGrid w:val="0"/>
          <w:sz w:val="28"/>
          <w:szCs w:val="28"/>
        </w:rPr>
        <w:t>сельского поселения Калининского района в органе управления</w:t>
      </w:r>
      <w:r>
        <w:rPr>
          <w:snapToGrid w:val="0"/>
          <w:sz w:val="28"/>
          <w:szCs w:val="28"/>
        </w:rPr>
        <w:t xml:space="preserve"> автономной </w:t>
      </w:r>
      <w:r w:rsidRPr="004950D9">
        <w:rPr>
          <w:snapToGrid w:val="0"/>
          <w:sz w:val="28"/>
          <w:szCs w:val="28"/>
        </w:rPr>
        <w:t>некоммерческой организации</w:t>
      </w:r>
      <w:r>
        <w:rPr>
          <w:sz w:val="28"/>
          <w:szCs w:val="28"/>
        </w:rPr>
        <w:t>»</w:t>
      </w:r>
    </w:p>
    <w:p w:rsidR="0077669F" w:rsidRPr="00531198" w:rsidRDefault="002420D9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https://www.boikoponura.ru/.</w:t>
      </w:r>
    </w:p>
    <w:p w:rsidR="0077669F" w:rsidRPr="00531198" w:rsidRDefault="002420D9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D25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5D257E">
        <w:rPr>
          <w:rFonts w:ascii="Times New Roman" w:hAnsi="Times New Roman"/>
          <w:sz w:val="28"/>
          <w:szCs w:val="28"/>
        </w:rPr>
        <w:t>.</w:t>
      </w:r>
    </w:p>
    <w:p w:rsidR="002420D9" w:rsidRDefault="002420D9" w:rsidP="00242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669F" w:rsidRPr="00531198">
        <w:rPr>
          <w:sz w:val="28"/>
          <w:szCs w:val="28"/>
        </w:rPr>
        <w:t xml:space="preserve">. </w:t>
      </w:r>
      <w:r w:rsidRPr="00DF122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силу со дня его обнародования</w:t>
      </w:r>
      <w:r w:rsidRPr="00DF122A">
        <w:rPr>
          <w:sz w:val="28"/>
          <w:szCs w:val="28"/>
        </w:rPr>
        <w:t>.</w:t>
      </w:r>
    </w:p>
    <w:p w:rsidR="002420D9" w:rsidRDefault="002420D9" w:rsidP="002420D9">
      <w:pPr>
        <w:jc w:val="both"/>
        <w:rPr>
          <w:sz w:val="28"/>
          <w:szCs w:val="28"/>
        </w:rPr>
      </w:pPr>
    </w:p>
    <w:p w:rsidR="002420D9" w:rsidRDefault="002420D9" w:rsidP="002420D9">
      <w:pPr>
        <w:jc w:val="both"/>
        <w:rPr>
          <w:sz w:val="28"/>
          <w:szCs w:val="28"/>
        </w:rPr>
      </w:pPr>
    </w:p>
    <w:p w:rsidR="002420D9" w:rsidRPr="00DF122A" w:rsidRDefault="002420D9" w:rsidP="002420D9">
      <w:pPr>
        <w:jc w:val="both"/>
        <w:rPr>
          <w:sz w:val="28"/>
          <w:szCs w:val="28"/>
        </w:rPr>
      </w:pPr>
      <w:r w:rsidRPr="00DF12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Бойкопонурского</w:t>
      </w:r>
      <w:r w:rsidRPr="00DF122A">
        <w:rPr>
          <w:sz w:val="28"/>
          <w:szCs w:val="28"/>
        </w:rPr>
        <w:t xml:space="preserve"> сельского поселения </w:t>
      </w:r>
    </w:p>
    <w:p w:rsidR="002420D9" w:rsidRDefault="002420D9" w:rsidP="002420D9">
      <w:pPr>
        <w:jc w:val="both"/>
        <w:rPr>
          <w:sz w:val="28"/>
          <w:szCs w:val="28"/>
        </w:rPr>
      </w:pPr>
      <w:r w:rsidRPr="00DF122A">
        <w:rPr>
          <w:sz w:val="28"/>
          <w:szCs w:val="28"/>
        </w:rPr>
        <w:t>Калининского района</w:t>
      </w:r>
      <w:r w:rsidRPr="00DF122A">
        <w:rPr>
          <w:sz w:val="28"/>
          <w:szCs w:val="28"/>
        </w:rPr>
        <w:tab/>
      </w:r>
      <w:r w:rsidRPr="00DF122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Ю.Я. Чернявский</w:t>
      </w:r>
    </w:p>
    <w:p w:rsidR="0077669F" w:rsidRPr="00531198" w:rsidRDefault="0077669F" w:rsidP="00242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0D9" w:rsidRPr="00806E42" w:rsidRDefault="002420D9" w:rsidP="002420D9">
      <w:pPr>
        <w:pStyle w:val="a3"/>
        <w:ind w:left="4679" w:firstLine="708"/>
        <w:rPr>
          <w:rFonts w:ascii="Times New Roman" w:eastAsia="Calibri" w:hAnsi="Times New Roman"/>
          <w:sz w:val="28"/>
          <w:szCs w:val="28"/>
          <w:lang w:bidi="ru-RU"/>
        </w:rPr>
      </w:pPr>
      <w:r w:rsidRPr="00806E42">
        <w:rPr>
          <w:rFonts w:ascii="Times New Roman" w:eastAsia="Calibri" w:hAnsi="Times New Roman"/>
          <w:sz w:val="28"/>
          <w:szCs w:val="28"/>
          <w:lang w:bidi="ru-RU"/>
        </w:rPr>
        <w:lastRenderedPageBreak/>
        <w:t>П</w:t>
      </w:r>
      <w:r w:rsidR="00F27A66" w:rsidRPr="00806E42">
        <w:rPr>
          <w:rFonts w:ascii="Times New Roman" w:eastAsia="Calibri" w:hAnsi="Times New Roman"/>
          <w:sz w:val="28"/>
          <w:szCs w:val="28"/>
          <w:lang w:bidi="ru-RU"/>
        </w:rPr>
        <w:t>риложение</w:t>
      </w:r>
      <w:r w:rsidR="00F27A66">
        <w:rPr>
          <w:rFonts w:ascii="Times New Roman" w:eastAsia="Calibri" w:hAnsi="Times New Roman"/>
          <w:sz w:val="28"/>
          <w:szCs w:val="28"/>
          <w:lang w:bidi="ru-RU"/>
        </w:rPr>
        <w:t xml:space="preserve"> 1</w:t>
      </w:r>
    </w:p>
    <w:p w:rsidR="002420D9" w:rsidRPr="00806E42" w:rsidRDefault="002420D9" w:rsidP="002420D9">
      <w:pPr>
        <w:ind w:left="5387"/>
        <w:rPr>
          <w:rFonts w:eastAsia="Calibri"/>
          <w:sz w:val="28"/>
          <w:szCs w:val="28"/>
          <w:lang w:bidi="ru-RU"/>
        </w:rPr>
      </w:pPr>
      <w:r w:rsidRPr="00806E42">
        <w:rPr>
          <w:rFonts w:eastAsia="Calibri"/>
          <w:sz w:val="28"/>
          <w:szCs w:val="28"/>
          <w:lang w:bidi="ru-RU"/>
        </w:rPr>
        <w:t>УТВЕРЖДЕН</w:t>
      </w:r>
    </w:p>
    <w:p w:rsidR="002420D9" w:rsidRPr="00806E42" w:rsidRDefault="002420D9" w:rsidP="002420D9">
      <w:pPr>
        <w:ind w:left="5387"/>
        <w:rPr>
          <w:rFonts w:eastAsia="Calibri"/>
          <w:sz w:val="28"/>
          <w:szCs w:val="28"/>
          <w:lang w:bidi="ru-RU"/>
        </w:rPr>
      </w:pPr>
      <w:r w:rsidRPr="00806E42">
        <w:rPr>
          <w:rFonts w:eastAsia="Calibri"/>
          <w:sz w:val="28"/>
          <w:szCs w:val="28"/>
          <w:lang w:bidi="ru-RU"/>
        </w:rPr>
        <w:t>постановлением администрации</w:t>
      </w:r>
    </w:p>
    <w:p w:rsidR="002420D9" w:rsidRDefault="002420D9" w:rsidP="002420D9">
      <w:pPr>
        <w:pStyle w:val="a3"/>
        <w:ind w:left="4678" w:firstLine="709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06E4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Бойкопонурского сельского </w:t>
      </w:r>
    </w:p>
    <w:p w:rsidR="002420D9" w:rsidRPr="002420D9" w:rsidRDefault="002420D9" w:rsidP="002420D9">
      <w:pPr>
        <w:pStyle w:val="a3"/>
        <w:ind w:left="4679" w:firstLine="708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06E4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поселения 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9F" w:rsidRPr="00531198" w:rsidRDefault="00AF45EC" w:rsidP="00AF45E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20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03.03.2021 г. № 33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0D9" w:rsidRDefault="002420D9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A4426A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A442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69F" w:rsidRPr="00A4426A" w:rsidRDefault="002420D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6A">
        <w:rPr>
          <w:rFonts w:ascii="Times New Roman" w:hAnsi="Times New Roman" w:cs="Times New Roman"/>
          <w:b/>
          <w:sz w:val="28"/>
          <w:szCs w:val="28"/>
        </w:rPr>
        <w:t>участия представителей</w:t>
      </w:r>
    </w:p>
    <w:p w:rsidR="002420D9" w:rsidRPr="00A4426A" w:rsidRDefault="002420D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6A">
        <w:rPr>
          <w:rFonts w:ascii="Times New Roman" w:hAnsi="Times New Roman" w:cs="Times New Roman"/>
          <w:b/>
          <w:sz w:val="28"/>
          <w:szCs w:val="28"/>
        </w:rPr>
        <w:t xml:space="preserve">Бойкопонурского сельского поселения Калининского района </w:t>
      </w:r>
    </w:p>
    <w:p w:rsidR="0077669F" w:rsidRPr="00A4426A" w:rsidRDefault="002420D9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6A">
        <w:rPr>
          <w:rFonts w:ascii="Times New Roman" w:hAnsi="Times New Roman" w:cs="Times New Roman"/>
          <w:b/>
          <w:sz w:val="28"/>
          <w:szCs w:val="28"/>
        </w:rPr>
        <w:t>в органах управления автономной некоммерческой организации</w:t>
      </w:r>
    </w:p>
    <w:p w:rsidR="002420D9" w:rsidRPr="00531198" w:rsidRDefault="002420D9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4C3FDD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8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понурское сельское поселение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>) могут быть: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>
        <w:rPr>
          <w:rFonts w:ascii="Times New Roman" w:hAnsi="Times New Roman" w:cs="Times New Roman"/>
          <w:sz w:val="28"/>
          <w:szCs w:val="28"/>
        </w:rPr>
        <w:t>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>
        <w:rPr>
          <w:rFonts w:ascii="Times New Roman" w:hAnsi="Times New Roman" w:cs="Times New Roman"/>
          <w:sz w:val="28"/>
          <w:szCs w:val="28"/>
        </w:rPr>
        <w:t>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420D9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2420D9" w:rsidRPr="002420D9">
        <w:rPr>
          <w:rFonts w:ascii="Times New Roman" w:hAnsi="Times New Roman" w:cs="Times New Roman"/>
          <w:sz w:val="28"/>
          <w:szCs w:val="28"/>
        </w:rPr>
        <w:t>Бойко</w:t>
      </w:r>
      <w:r w:rsidR="002420D9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2420D9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AF45EC" w:rsidRDefault="00AF45EC" w:rsidP="00761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5EC" w:rsidRDefault="00AF45EC" w:rsidP="00AF4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DD" w:rsidRDefault="0077669F" w:rsidP="00623FB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2. Порядок назначения</w:t>
      </w:r>
      <w:r w:rsidR="004C3FDD">
        <w:rPr>
          <w:rFonts w:ascii="Times New Roman" w:hAnsi="Times New Roman" w:cs="Times New Roman"/>
          <w:sz w:val="28"/>
          <w:szCs w:val="28"/>
        </w:rPr>
        <w:t xml:space="preserve"> </w:t>
      </w:r>
      <w:r w:rsidRPr="004C3FD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4C3FDD" w:rsidRDefault="00623FBE" w:rsidP="00623FB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77669F" w:rsidRPr="004C3FDD" w:rsidRDefault="00623FBE" w:rsidP="00623FB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27A66" w:rsidRPr="00531198" w:rsidRDefault="00F27A66" w:rsidP="00623FB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623FBE" w:rsidRPr="002420D9">
        <w:rPr>
          <w:sz w:val="28"/>
          <w:szCs w:val="28"/>
        </w:rPr>
        <w:t>Бойко</w:t>
      </w:r>
      <w:r w:rsidR="00623FBE">
        <w:rPr>
          <w:sz w:val="28"/>
          <w:szCs w:val="28"/>
        </w:rPr>
        <w:t xml:space="preserve">понурского сельского поселения </w:t>
      </w:r>
      <w:r w:rsidR="00623FBE" w:rsidRPr="002420D9">
        <w:rPr>
          <w:sz w:val="28"/>
          <w:szCs w:val="28"/>
        </w:rPr>
        <w:t>Калининского района</w:t>
      </w:r>
      <w:r w:rsidR="00623F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должен содержать сведения о сроке наделения полномочиями по представлению </w:t>
      </w:r>
      <w:r w:rsidR="00623FBE" w:rsidRPr="002420D9">
        <w:rPr>
          <w:sz w:val="28"/>
          <w:szCs w:val="28"/>
        </w:rPr>
        <w:t>Бойко</w:t>
      </w:r>
      <w:r w:rsidR="00623FBE">
        <w:rPr>
          <w:sz w:val="28"/>
          <w:szCs w:val="28"/>
        </w:rPr>
        <w:t xml:space="preserve">понурского сельского поселения </w:t>
      </w:r>
      <w:r w:rsidR="00623FBE" w:rsidRPr="002420D9">
        <w:rPr>
          <w:sz w:val="28"/>
          <w:szCs w:val="28"/>
        </w:rPr>
        <w:t>Калининского района</w:t>
      </w:r>
      <w:r w:rsidR="00623FB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соответствующем органе управления автономной некоммерческой организации.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F27A66" w:rsidRDefault="00F27A66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FDD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3. Требования к порядку</w:t>
      </w:r>
    </w:p>
    <w:p w:rsidR="0077669F" w:rsidRPr="004C3FDD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осуществления действий представител</w:t>
      </w:r>
      <w:r w:rsidR="00484784" w:rsidRPr="004C3FDD">
        <w:rPr>
          <w:rFonts w:ascii="Times New Roman" w:hAnsi="Times New Roman" w:cs="Times New Roman"/>
          <w:sz w:val="28"/>
          <w:szCs w:val="28"/>
        </w:rPr>
        <w:t>ей</w:t>
      </w:r>
    </w:p>
    <w:p w:rsidR="0077669F" w:rsidRPr="004C3FDD" w:rsidRDefault="00623FBE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</w:p>
    <w:p w:rsidR="0077669F" w:rsidRPr="004C3FDD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DD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>понурского сельского</w:t>
      </w:r>
    </w:p>
    <w:p w:rsidR="004C3FDD" w:rsidRDefault="004C3FDD" w:rsidP="004C3F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84784" w:rsidRPr="007F0355" w:rsidRDefault="00623FBE" w:rsidP="004C3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484784" w:rsidRPr="007F0355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Pr="002420D9">
        <w:rPr>
          <w:rFonts w:ascii="Times New Roman" w:hAnsi="Times New Roman" w:cs="Times New Roman"/>
          <w:sz w:val="28"/>
          <w:szCs w:val="28"/>
        </w:rPr>
        <w:t>Бойко</w:t>
      </w:r>
      <w:r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484784"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подлежит голосование представителя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(за исключением представителя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являющегося лицом, замещающим муниципальную должность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10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23FBE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23FBE" w:rsidRPr="002420D9">
        <w:rPr>
          <w:rFonts w:ascii="Times New Roman" w:hAnsi="Times New Roman" w:cs="Times New Roman"/>
          <w:sz w:val="28"/>
          <w:szCs w:val="28"/>
        </w:rPr>
        <w:t>Бойко</w:t>
      </w:r>
      <w:r w:rsidR="00623FBE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623FBE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:rsidR="004C3FDD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3.4.1. Лично участвовать в работе органов управления автономной некоммерческой организации, в которые он назначен, и не может делегировать </w:t>
      </w:r>
    </w:p>
    <w:p w:rsidR="004C3FDD" w:rsidRDefault="004C3FDD" w:rsidP="004C3F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84784" w:rsidRPr="007F0355" w:rsidRDefault="00484784" w:rsidP="004C3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свои полномочия иным лицам, в том числе замещающим его по месту основной работы.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4C3FDD" w:rsidRDefault="0077669F" w:rsidP="004C3F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4. Порядок отчетности</w:t>
      </w:r>
    </w:p>
    <w:p w:rsidR="004C3FDD" w:rsidRDefault="0077669F" w:rsidP="004C3F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27A66" w:rsidRPr="004C3FDD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165E5" w:rsidRPr="004C3FDD" w:rsidRDefault="00F27A66" w:rsidP="004C3F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27A66" w:rsidRPr="00531198" w:rsidRDefault="00F27A66" w:rsidP="00F27A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154"/>
      <w:bookmarkEnd w:id="2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F27A66" w:rsidRPr="002420D9">
        <w:rPr>
          <w:sz w:val="28"/>
          <w:szCs w:val="28"/>
        </w:rPr>
        <w:t>Бойко</w:t>
      </w:r>
      <w:r w:rsidR="00F27A66">
        <w:rPr>
          <w:sz w:val="28"/>
          <w:szCs w:val="28"/>
        </w:rPr>
        <w:t xml:space="preserve">понурского сельского поселения </w:t>
      </w:r>
      <w:r w:rsidR="00F27A66" w:rsidRPr="002420D9">
        <w:rPr>
          <w:sz w:val="28"/>
          <w:szCs w:val="28"/>
        </w:rPr>
        <w:t>Калининского района</w:t>
      </w:r>
      <w:r w:rsidR="007F0355">
        <w:rPr>
          <w:rFonts w:eastAsiaTheme="minorHAnsi"/>
          <w:sz w:val="28"/>
          <w:szCs w:val="28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F27A66" w:rsidRPr="002420D9">
        <w:rPr>
          <w:sz w:val="28"/>
          <w:szCs w:val="28"/>
        </w:rPr>
        <w:t>Бойко</w:t>
      </w:r>
      <w:r w:rsidR="00F27A66">
        <w:rPr>
          <w:sz w:val="28"/>
          <w:szCs w:val="28"/>
        </w:rPr>
        <w:t xml:space="preserve">понурского сельского поселения </w:t>
      </w:r>
      <w:r w:rsidR="00F27A66" w:rsidRPr="002420D9">
        <w:rPr>
          <w:sz w:val="28"/>
          <w:szCs w:val="28"/>
        </w:rPr>
        <w:t>Калининского района</w:t>
      </w:r>
      <w:r w:rsidR="00F27A66">
        <w:t xml:space="preserve"> </w:t>
      </w:r>
      <w:hyperlink r:id="rId11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F27A66" w:rsidRPr="002420D9">
        <w:rPr>
          <w:sz w:val="28"/>
          <w:szCs w:val="28"/>
        </w:rPr>
        <w:t>Бойко</w:t>
      </w:r>
      <w:r w:rsidR="00F27A66">
        <w:rPr>
          <w:sz w:val="28"/>
          <w:szCs w:val="28"/>
        </w:rPr>
        <w:t xml:space="preserve">понурское сельское поселение </w:t>
      </w:r>
      <w:r w:rsidR="00F27A66" w:rsidRPr="002420D9">
        <w:rPr>
          <w:sz w:val="28"/>
          <w:szCs w:val="28"/>
        </w:rPr>
        <w:t>Калининского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2</w:t>
      </w:r>
      <w:r w:rsidR="00AF3953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>
        <w:rPr>
          <w:rFonts w:eastAsiaTheme="minorHAnsi"/>
          <w:sz w:val="28"/>
          <w:szCs w:val="28"/>
          <w:lang w:eastAsia="en-US"/>
        </w:rPr>
        <w:t>Постановлению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1165E5" w:rsidRPr="00531198" w:rsidRDefault="001165E5" w:rsidP="00F27A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4C3FDD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5. Порядок прекращения полномочий</w:t>
      </w:r>
    </w:p>
    <w:p w:rsidR="004C3FDD" w:rsidRDefault="0077669F" w:rsidP="00F27A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F27A66" w:rsidRPr="004C3FDD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531198" w:rsidRDefault="00F27A66" w:rsidP="00F27A6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D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27A66" w:rsidRPr="009C4693" w:rsidRDefault="00F27A66" w:rsidP="00F27A66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прекращаются: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4C3FDD" w:rsidRDefault="004C3FDD" w:rsidP="004C3F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5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 замене представителя.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 занимаемой им муниципальной должности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или должности муниципальной службы</w:t>
      </w:r>
      <w:r w:rsidR="00280FEF">
        <w:rPr>
          <w:rFonts w:ascii="Times New Roman" w:hAnsi="Times New Roman" w:cs="Times New Roman"/>
          <w:sz w:val="28"/>
          <w:szCs w:val="20"/>
        </w:rPr>
        <w:t xml:space="preserve">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>
        <w:rPr>
          <w:rFonts w:ascii="Times New Roman" w:hAnsi="Times New Roman" w:cs="Times New Roman"/>
          <w:sz w:val="28"/>
          <w:szCs w:val="28"/>
        </w:rPr>
        <w:t>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5.1.4. В случае расторжения или прекращения договора о представлении интересов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5.2. Замена представителя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осуществляется в случае: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отказа представителя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от участия в органах управления автономной некоммерческой организации;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обязанностей, установленных </w:t>
      </w:r>
      <w:hyperlink r:id="rId12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Решение о замене лица, замещающего муниципальную должность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принимается в форме правового акта администрации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9C4693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 назначается иной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Default="00E902E6" w:rsidP="004C3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27A66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  <w:r w:rsidR="00F27A66"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4C3FDD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F27A66" w:rsidRPr="002420D9">
        <w:rPr>
          <w:sz w:val="28"/>
          <w:szCs w:val="28"/>
        </w:rPr>
        <w:t>Бойко</w:t>
      </w:r>
      <w:r w:rsidR="00F27A66">
        <w:rPr>
          <w:sz w:val="28"/>
          <w:szCs w:val="28"/>
        </w:rPr>
        <w:t xml:space="preserve">понурского сельского поселения </w:t>
      </w:r>
      <w:r w:rsidR="00F27A66" w:rsidRPr="002420D9">
        <w:rPr>
          <w:sz w:val="28"/>
          <w:szCs w:val="28"/>
        </w:rPr>
        <w:t>Калининского района</w:t>
      </w:r>
      <w:r w:rsidR="00F27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3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F27A66" w:rsidRPr="002420D9">
        <w:rPr>
          <w:sz w:val="28"/>
          <w:szCs w:val="28"/>
        </w:rPr>
        <w:t>Бойко</w:t>
      </w:r>
      <w:r w:rsidR="00F27A66">
        <w:rPr>
          <w:sz w:val="28"/>
          <w:szCs w:val="28"/>
        </w:rPr>
        <w:t xml:space="preserve">понурского сельского поселения </w:t>
      </w:r>
      <w:r w:rsidR="00F27A66" w:rsidRPr="002420D9">
        <w:rPr>
          <w:sz w:val="28"/>
          <w:szCs w:val="28"/>
        </w:rPr>
        <w:t>Калининского района</w:t>
      </w:r>
      <w:r w:rsidRPr="00144AF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F27A66" w:rsidRPr="002420D9">
        <w:rPr>
          <w:sz w:val="28"/>
          <w:szCs w:val="28"/>
        </w:rPr>
        <w:t>Бойко</w:t>
      </w:r>
      <w:r w:rsidR="00F27A66">
        <w:rPr>
          <w:sz w:val="28"/>
          <w:szCs w:val="28"/>
        </w:rPr>
        <w:t xml:space="preserve">понурское сельское поселение </w:t>
      </w:r>
      <w:r w:rsidR="00F27A66" w:rsidRPr="002420D9">
        <w:rPr>
          <w:sz w:val="28"/>
          <w:szCs w:val="28"/>
        </w:rPr>
        <w:t>Калининского района</w:t>
      </w:r>
      <w:r w:rsidR="00F27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</w:p>
    <w:p w:rsidR="004C3FDD" w:rsidRDefault="004C3FDD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3FDD" w:rsidRDefault="004C3FDD" w:rsidP="004C3FD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</w:p>
    <w:p w:rsidR="00280FEF" w:rsidRDefault="00280FEF" w:rsidP="004C3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органах управления автономной некоммерческой организации.</w:t>
      </w:r>
    </w:p>
    <w:p w:rsidR="00F27A66" w:rsidRDefault="00F27A66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A66" w:rsidRDefault="00F27A66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A66" w:rsidRDefault="00F27A66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A66" w:rsidRDefault="00F27A66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A66" w:rsidRPr="00DF122A" w:rsidRDefault="00F27A66" w:rsidP="00F27A66">
      <w:pPr>
        <w:jc w:val="both"/>
        <w:rPr>
          <w:sz w:val="28"/>
          <w:szCs w:val="28"/>
        </w:rPr>
      </w:pPr>
      <w:r w:rsidRPr="00DF12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Бойкопонурского</w:t>
      </w:r>
      <w:r w:rsidRPr="00DF122A">
        <w:rPr>
          <w:sz w:val="28"/>
          <w:szCs w:val="28"/>
        </w:rPr>
        <w:t xml:space="preserve"> сельского поселения </w:t>
      </w:r>
    </w:p>
    <w:p w:rsidR="00F27A66" w:rsidRDefault="00F27A66" w:rsidP="00F27A66">
      <w:pPr>
        <w:jc w:val="both"/>
        <w:rPr>
          <w:sz w:val="28"/>
          <w:szCs w:val="28"/>
        </w:rPr>
      </w:pPr>
      <w:r w:rsidRPr="00DF122A">
        <w:rPr>
          <w:sz w:val="28"/>
          <w:szCs w:val="28"/>
        </w:rPr>
        <w:t>Калининского района</w:t>
      </w:r>
      <w:r w:rsidRPr="00DF122A">
        <w:rPr>
          <w:sz w:val="28"/>
          <w:szCs w:val="28"/>
        </w:rPr>
        <w:tab/>
      </w:r>
      <w:r w:rsidRPr="00DF122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Ю.Я. Чернявский</w:t>
      </w:r>
    </w:p>
    <w:p w:rsidR="00F27A66" w:rsidRDefault="00F27A66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FDD" w:rsidRDefault="004C3FDD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A66" w:rsidRDefault="00F27A66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27A66" w:rsidRPr="00806E42" w:rsidRDefault="00F27A66" w:rsidP="00F27A66">
      <w:pPr>
        <w:pStyle w:val="a3"/>
        <w:ind w:left="4679" w:firstLine="708"/>
        <w:rPr>
          <w:rFonts w:ascii="Times New Roman" w:eastAsia="Calibri" w:hAnsi="Times New Roman"/>
          <w:sz w:val="28"/>
          <w:szCs w:val="28"/>
          <w:lang w:bidi="ru-RU"/>
        </w:rPr>
      </w:pPr>
      <w:bookmarkStart w:id="3" w:name="P104"/>
      <w:bookmarkEnd w:id="3"/>
      <w:r w:rsidRPr="00806E42">
        <w:rPr>
          <w:rFonts w:ascii="Times New Roman" w:eastAsia="Calibri" w:hAnsi="Times New Roman"/>
          <w:sz w:val="28"/>
          <w:szCs w:val="28"/>
          <w:lang w:bidi="ru-RU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 2</w:t>
      </w:r>
    </w:p>
    <w:p w:rsidR="00F27A66" w:rsidRPr="00806E42" w:rsidRDefault="00F27A66" w:rsidP="00F27A66">
      <w:pPr>
        <w:ind w:left="5387"/>
        <w:rPr>
          <w:rFonts w:eastAsia="Calibri"/>
          <w:sz w:val="28"/>
          <w:szCs w:val="28"/>
          <w:lang w:bidi="ru-RU"/>
        </w:rPr>
      </w:pPr>
      <w:r w:rsidRPr="00806E42">
        <w:rPr>
          <w:rFonts w:eastAsia="Calibri"/>
          <w:sz w:val="28"/>
          <w:szCs w:val="28"/>
          <w:lang w:bidi="ru-RU"/>
        </w:rPr>
        <w:t>УТВЕРЖДЕН</w:t>
      </w:r>
      <w:r>
        <w:rPr>
          <w:rFonts w:eastAsia="Calibri"/>
          <w:sz w:val="28"/>
          <w:szCs w:val="28"/>
          <w:lang w:bidi="ru-RU"/>
        </w:rPr>
        <w:t>А</w:t>
      </w:r>
    </w:p>
    <w:p w:rsidR="00F27A66" w:rsidRPr="00806E42" w:rsidRDefault="00F27A66" w:rsidP="00F27A66">
      <w:pPr>
        <w:ind w:left="5387"/>
        <w:rPr>
          <w:rFonts w:eastAsia="Calibri"/>
          <w:sz w:val="28"/>
          <w:szCs w:val="28"/>
          <w:lang w:bidi="ru-RU"/>
        </w:rPr>
      </w:pPr>
      <w:r w:rsidRPr="00806E42">
        <w:rPr>
          <w:rFonts w:eastAsia="Calibri"/>
          <w:sz w:val="28"/>
          <w:szCs w:val="28"/>
          <w:lang w:bidi="ru-RU"/>
        </w:rPr>
        <w:t>постановлением администрации</w:t>
      </w:r>
    </w:p>
    <w:p w:rsidR="00F27A66" w:rsidRDefault="00F27A66" w:rsidP="00F27A66">
      <w:pPr>
        <w:pStyle w:val="a3"/>
        <w:ind w:left="4678" w:firstLine="709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06E4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Бойкопонурского сельского </w:t>
      </w:r>
    </w:p>
    <w:p w:rsidR="00F27A66" w:rsidRPr="002420D9" w:rsidRDefault="00F27A66" w:rsidP="00F27A66">
      <w:pPr>
        <w:pStyle w:val="a3"/>
        <w:ind w:left="4679" w:firstLine="708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06E4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поселения Калининского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66" w:rsidRPr="00531198" w:rsidRDefault="00405855" w:rsidP="004058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7A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03.03.2021г. № 33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66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27A66" w:rsidRPr="002420D9">
        <w:rPr>
          <w:rFonts w:ascii="Times New Roman" w:hAnsi="Times New Roman" w:cs="Times New Roman"/>
          <w:sz w:val="28"/>
          <w:szCs w:val="28"/>
        </w:rPr>
        <w:t>Бойко</w:t>
      </w:r>
      <w:r w:rsidR="00F27A66">
        <w:rPr>
          <w:rFonts w:ascii="Times New Roman" w:hAnsi="Times New Roman" w:cs="Times New Roman"/>
          <w:sz w:val="28"/>
          <w:szCs w:val="28"/>
        </w:rPr>
        <w:t xml:space="preserve">понурского сельского поселения </w:t>
      </w:r>
    </w:p>
    <w:p w:rsidR="00F27A66" w:rsidRDefault="00F27A66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0D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r w:rsidR="009C4693" w:rsidRPr="003B6A72">
        <w:rPr>
          <w:rFonts w:ascii="Times New Roman" w:hAnsi="Times New Roman" w:cs="Times New Roman"/>
          <w:sz w:val="28"/>
          <w:szCs w:val="28"/>
        </w:rPr>
        <w:t xml:space="preserve">в органе управления 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4C3F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3B6A72" w:rsidTr="009B77E3">
        <w:trPr>
          <w:trHeight w:val="388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rPr>
          <w:trHeight w:val="622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r w:rsidRPr="00D862C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FEF" w:rsidRPr="003B6A72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4C3F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:rsidTr="009B77E3">
        <w:trPr>
          <w:trHeight w:val="187"/>
        </w:trPr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FEF" w:rsidSect="00F4472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77" w:rsidRDefault="00120177" w:rsidP="00F44725">
      <w:r>
        <w:separator/>
      </w:r>
    </w:p>
  </w:endnote>
  <w:endnote w:type="continuationSeparator" w:id="0">
    <w:p w:rsidR="00120177" w:rsidRDefault="00120177" w:rsidP="00F4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77" w:rsidRDefault="00120177" w:rsidP="00F44725">
      <w:r>
        <w:separator/>
      </w:r>
    </w:p>
  </w:footnote>
  <w:footnote w:type="continuationSeparator" w:id="0">
    <w:p w:rsidR="00120177" w:rsidRDefault="00120177" w:rsidP="00F4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538"/>
    <w:rsid w:val="00111E9B"/>
    <w:rsid w:val="00114B09"/>
    <w:rsid w:val="001154E7"/>
    <w:rsid w:val="001161E3"/>
    <w:rsid w:val="001165E5"/>
    <w:rsid w:val="00120177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420D9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855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FDD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3FBE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370F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CCE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A3444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426A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45EC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3421F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27A66"/>
    <w:rsid w:val="00F308FF"/>
    <w:rsid w:val="00F33E24"/>
    <w:rsid w:val="00F3779A"/>
    <w:rsid w:val="00F44725"/>
    <w:rsid w:val="00F5110A"/>
    <w:rsid w:val="00F52055"/>
    <w:rsid w:val="00F53841"/>
    <w:rsid w:val="00F5507B"/>
    <w:rsid w:val="00F555D3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2A0B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44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4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24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4877938A47F2EEBBBE001776A16676DCF36A44E0CC574A467E26DF5NFlFJ" TargetMode="External"/><Relationship Id="rId13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4" Type="http://schemas.openxmlformats.org/officeDocument/2006/relationships/hyperlink" Target="consultantplus://offline/ref=C762B3D0A1EEE871C3E63175FE9B9B898A7324E7FA75546A867E0FD5CA64124D35857ABFAD94CFF8A5C11678AF8B05B4C07D911D7DD0C70853D4EF6EgE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2021-03-04T11:54:00Z</cp:lastPrinted>
  <dcterms:created xsi:type="dcterms:W3CDTF">2021-02-15T10:36:00Z</dcterms:created>
  <dcterms:modified xsi:type="dcterms:W3CDTF">2021-04-02T06:59:00Z</dcterms:modified>
</cp:coreProperties>
</file>